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rFonts w:ascii="Arial" w:hAnsi="Arial"/>
          <w:b/>
          <w:color w:val="1E293B"/>
          <w:sz w:val="44"/>
        </w:rPr>
        <w:t>The Bama Llama Leader Self-Assessment</w:t>
      </w:r>
    </w:p>
    <w:p>
      <w:pPr>
        <w:spacing w:before="0" w:after="80" w:line="276" w:lineRule="auto"/>
        <w:jc w:val="center"/>
      </w:pPr>
      <w:r>
        <w:rPr>
          <w:rFonts w:ascii="Arial" w:hAnsi="Arial"/>
          <w:color w:val="854D0E"/>
          <w:sz w:val="24"/>
        </w:rPr>
        <w:t>Knowing Where You Stand: A Guide to Steady Leadership Without Losing Yourself</w:t>
      </w:r>
    </w:p>
    <w:p>
      <w:pPr>
        <w:spacing w:before="0" w:after="360" w:line="276" w:lineRule="auto"/>
        <w:jc w:val="center"/>
      </w:pPr>
      <w:r>
        <w:rPr>
          <w:rFonts w:ascii="Arial" w:hAnsi="Arial"/>
          <w:i/>
          <w:color w:val="64748B"/>
          <w:sz w:val="20"/>
        </w:rPr>
        <w:t>Based on Chapter 18 of "The Bama Llama Leader" by Dr. Rick Upchurch</w:t>
      </w:r>
    </w:p>
    <w:p>
      <w:pPr>
        <w:spacing w:before="0" w:after="240" w:line="276" w:lineRule="auto"/>
        <w:ind w:left="288"/>
      </w:pPr>
      <w:r>
        <w:rPr>
          <w:rFonts w:ascii="Arial" w:hAnsi="Arial"/>
          <w:color w:val="334155"/>
          <w:sz w:val="20"/>
        </w:rPr>
        <w:t>The purpose of this assessment is not to grade you. It is to locate you. Leadership development that is not anchored to honest self-knowledge tends to drift toward either self-congratulation or discouragement. Work through each section slowly. Resist the urge to answer as you wish you were rather than as you actually are.</w:t>
      </w:r>
    </w:p>
    <w:p>
      <w:pPr>
        <w:spacing w:after="360"/>
      </w:pPr>
      <w:r>
        <w:rPr>
          <w:b/>
          <w:color w:val="1E293B"/>
          <w:sz w:val="18"/>
        </w:rPr>
        <w:t>FREQUENCY SCALE:</w:t>
        <w:br/>
      </w:r>
      <w:r>
        <w:rPr>
          <w:b/>
          <w:color w:val="854D0E"/>
          <w:sz w:val="20"/>
        </w:rPr>
        <w:t>1 = Never      2 = Sometimes      3 = Usually      4 = Always</w:t>
      </w:r>
    </w:p>
    <w:p>
      <w:pPr>
        <w:spacing w:before="360" w:after="120" w:line="276" w:lineRule="auto"/>
      </w:pPr>
      <w:r>
        <w:rPr>
          <w:rFonts w:ascii="Arial" w:hAnsi="Arial"/>
          <w:b/>
          <w:color w:val="1E293B"/>
          <w:sz w:val="28"/>
        </w:rPr>
        <w:t>Part I: Foundations That Don’t Crack</w:t>
      </w:r>
    </w:p>
    <w:p>
      <w:pPr>
        <w:spacing w:before="120" w:after="40" w:line="276" w:lineRule="auto"/>
      </w:pPr>
      <w:r>
        <w:rPr>
          <w:rFonts w:ascii="Arial" w:hAnsi="Arial"/>
          <w:b/>
          <w:color w:val="854D0E"/>
          <w:sz w:val="23"/>
        </w:rPr>
        <w:t>Section 1: Humility</w:t>
      </w:r>
    </w:p>
    <w:p>
      <w:pPr>
        <w:spacing w:before="0" w:after="160" w:line="276" w:lineRule="auto"/>
      </w:pPr>
      <w:r>
        <w:rPr>
          <w:rFonts w:ascii="Arial" w:hAnsi="Arial"/>
          <w:i/>
          <w:color w:val="64748B"/>
          <w:sz w:val="19"/>
        </w:rPr>
        <w:t>Chapter 1 — Learning How to Carry Weight Without Making It About You</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genuinely seek out perspectives that challenge my current thinking rather than looking for confirmation of what I already believe.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When I am wrong or have made a mistake, I acknowledge it directly without minimizing or deflecting.</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can receive critical feedback without becoming defensive, even when the feedback is uncomfortable.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am more focused on the outcome of a decision than on whether my idea was the one adopted.</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I consistently create an environment where people experience me as approachable and open rather than certain and closed.</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120" w:after="40" w:line="276" w:lineRule="auto"/>
      </w:pPr>
      <w:r>
        <w:rPr>
          <w:rFonts w:ascii="Arial" w:hAnsi="Arial"/>
          <w:b/>
          <w:color w:val="854D0E"/>
          <w:sz w:val="23"/>
        </w:rPr>
        <w:t>Section 2: Relationships</w:t>
      </w:r>
    </w:p>
    <w:p>
      <w:pPr>
        <w:spacing w:before="0" w:after="160" w:line="276" w:lineRule="auto"/>
      </w:pPr>
      <w:r>
        <w:rPr>
          <w:rFonts w:ascii="Arial" w:hAnsi="Arial"/>
          <w:i/>
          <w:color w:val="64748B"/>
          <w:sz w:val="19"/>
        </w:rPr>
        <w:t>Chapter 2 — Where Leadership Is Tested</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initiate meaningful, non-transactional conversations with the people I work with, not just task check-ins.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address relational tension directly rather than allowing conflict to go unspoken or unresolved.</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The people closest to my work would say they feel genuinely seen and valued, not merely useful.</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follow through consistently on commitments, including small ones.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When I have caused harm in a relationship, I take clear and timely responsibility for it.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120" w:after="40" w:line="276" w:lineRule="auto"/>
      </w:pPr>
      <w:r>
        <w:rPr>
          <w:rFonts w:ascii="Arial" w:hAnsi="Arial"/>
          <w:b/>
          <w:color w:val="854D0E"/>
          <w:sz w:val="23"/>
        </w:rPr>
        <w:t>Section 3: Faith as Orientation</w:t>
      </w:r>
    </w:p>
    <w:p>
      <w:pPr>
        <w:spacing w:before="0" w:after="160" w:line="276" w:lineRule="auto"/>
      </w:pPr>
      <w:r>
        <w:rPr>
          <w:rFonts w:ascii="Arial" w:hAnsi="Arial"/>
          <w:i/>
          <w:color w:val="64748B"/>
          <w:sz w:val="19"/>
        </w:rPr>
        <w:t>Chapter 3 — Faith as Orientation, Not Performance</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When outcomes are uncertain, I am able to act with clarity rather than stalling in anxiety or grasping for control.</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My sense of worth and identity remains stable when I face criticism, failure, or disappointment.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have regular practices (prayer, Scripture, silence, or equivalent disciplines) that reorient me before pressure distorts my perspective.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have one or more people that I can talk with who share my faith and with whom I can be honest about what I am carrying.</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16)</w:t>
            </w:r>
          </w:p>
        </w:tc>
        <w:tc>
          <w:tcPr>
            <w:tcW w:type="dxa" w:w="3168"/>
            <w:shd w:fill="F1F5F9"/>
            <w:tcMar>
              <w:top w:w="100" w:type="dxa"/>
              <w:bottom w:w="100" w:type="dxa"/>
              <w:left w:w="150" w:type="dxa"/>
              <w:right w:w="150" w:type="dxa"/>
            </w:tcMar>
          </w:tcPr>
          <w:p>
            <w:pPr>
              <w:jc w:val="center"/>
            </w:pPr>
            <w:r>
              <w:rPr>
                <w:rFonts w:ascii="Arial" w:hAnsi="Arial"/>
                <w:b/>
                <w:sz w:val="19"/>
              </w:rPr>
              <w:t>[       ] / 16</w:t>
            </w:r>
          </w:p>
        </w:tc>
      </w:tr>
    </w:tbl>
    <w:p>
      <w:pPr>
        <w:spacing w:after="240"/>
      </w:pPr>
    </w:p>
    <w:p>
      <w:pPr>
        <w:spacing w:before="360" w:after="120" w:line="276" w:lineRule="auto"/>
      </w:pPr>
      <w:r>
        <w:rPr>
          <w:rFonts w:ascii="Arial" w:hAnsi="Arial"/>
          <w:b/>
          <w:color w:val="1E293B"/>
          <w:sz w:val="28"/>
        </w:rPr>
        <w:t>Part II: The Inner Work of Leadership</w:t>
      </w:r>
    </w:p>
    <w:p>
      <w:pPr>
        <w:spacing w:before="120" w:after="40" w:line="276" w:lineRule="auto"/>
      </w:pPr>
      <w:r>
        <w:rPr>
          <w:rFonts w:ascii="Arial" w:hAnsi="Arial"/>
          <w:b/>
          <w:color w:val="854D0E"/>
          <w:sz w:val="23"/>
        </w:rPr>
        <w:t>Section 4: Self-Awareness</w:t>
      </w:r>
    </w:p>
    <w:p>
      <w:pPr>
        <w:spacing w:before="0" w:after="160" w:line="276" w:lineRule="auto"/>
      </w:pPr>
      <w:r>
        <w:rPr>
          <w:rFonts w:ascii="Arial" w:hAnsi="Arial"/>
          <w:i/>
          <w:color w:val="64748B"/>
          <w:sz w:val="19"/>
        </w:rPr>
        <w:t>Chapter 5 — Knowing What You Bring into the Room</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can accurately describe how I am likely to behave under stress before others experience the effects.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regularly seek honest feedback from people who are positioned to observe my blind spots.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am aware of the emotional triggers that most consistently affect my leadership behavior.</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notice when my internal state is affecting the environment around me, and I take responsibility for it.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I actively create opportunities for others to tell me how my leadership is actually landing, and I follow up on what I hear.</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120" w:after="40" w:line="276" w:lineRule="auto"/>
      </w:pPr>
      <w:r>
        <w:rPr>
          <w:rFonts w:ascii="Arial" w:hAnsi="Arial"/>
          <w:b/>
          <w:color w:val="854D0E"/>
          <w:sz w:val="23"/>
        </w:rPr>
        <w:t>Section 5: Self-Management</w:t>
      </w:r>
    </w:p>
    <w:p>
      <w:pPr>
        <w:spacing w:before="0" w:after="160" w:line="276" w:lineRule="auto"/>
      </w:pPr>
      <w:r>
        <w:rPr>
          <w:rFonts w:ascii="Arial" w:hAnsi="Arial"/>
          <w:i/>
          <w:color w:val="64748B"/>
          <w:sz w:val="19"/>
        </w:rPr>
        <w:t>Chapter 6 — Regulating Pressure Before It Leaks</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When I feel criticized or undermined, I pause before responding rather than reacting immediately.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The people around me would say that my emotional state is generally predictable and stable, even under pressure.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am able to distinguish between what I am feeling and what a situation actually requires of me.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have consistent recovery practices—rest, reflection, exercise, or community—that I protect even when work is demanding.</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Stress I carry internally rarely leaks into my tone, words, or behavior with others.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120" w:after="40" w:line="276" w:lineRule="auto"/>
      </w:pPr>
      <w:r>
        <w:rPr>
          <w:rFonts w:ascii="Arial" w:hAnsi="Arial"/>
          <w:b/>
          <w:color w:val="854D0E"/>
          <w:sz w:val="23"/>
        </w:rPr>
        <w:t>Section 6: Resilience</w:t>
      </w:r>
    </w:p>
    <w:p>
      <w:pPr>
        <w:spacing w:before="0" w:after="160" w:line="276" w:lineRule="auto"/>
      </w:pPr>
      <w:r>
        <w:rPr>
          <w:rFonts w:ascii="Arial" w:hAnsi="Arial"/>
          <w:i/>
          <w:color w:val="64748B"/>
          <w:sz w:val="19"/>
        </w:rPr>
        <w:t>Chapter 7 — Staying Upright When the Load Shifts</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When plans unravel or circumstances change unexpectedly, I am able to recalibrate without becoming paralyzed or bitter.</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have trusted people in my life who know the real weight I am carrying, people I can be honest with without pretense.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When setbacks occur, my default response is to ask what faithfulness requires next rather than why this happened to me.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maintain a sense of hope grounded in something deeper than current outcomes or circumstances.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Previous seasons of difficulty have made me a stronger, more empathetic leader rather than a more guarded one.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360" w:after="120" w:line="276" w:lineRule="auto"/>
      </w:pPr>
      <w:r>
        <w:rPr>
          <w:rFonts w:ascii="Arial" w:hAnsi="Arial"/>
          <w:b/>
          <w:color w:val="1E293B"/>
          <w:sz w:val="28"/>
        </w:rPr>
        <w:t>Part III: Leadership with Others</w:t>
      </w:r>
    </w:p>
    <w:p>
      <w:pPr>
        <w:spacing w:before="120" w:after="40" w:line="276" w:lineRule="auto"/>
      </w:pPr>
      <w:r>
        <w:rPr>
          <w:rFonts w:ascii="Arial" w:hAnsi="Arial"/>
          <w:b/>
          <w:color w:val="854D0E"/>
          <w:sz w:val="23"/>
        </w:rPr>
        <w:t>Section 7: Followership</w:t>
      </w:r>
    </w:p>
    <w:p>
      <w:pPr>
        <w:spacing w:before="0" w:after="160" w:line="276" w:lineRule="auto"/>
      </w:pPr>
      <w:r>
        <w:rPr>
          <w:rFonts w:ascii="Arial" w:hAnsi="Arial"/>
          <w:i/>
          <w:color w:val="64748B"/>
          <w:sz w:val="19"/>
        </w:rPr>
        <w:t>Chapter 9 — The Skill Every Leader Must Master First</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When I disagree with a decision made above me, I express that disagreement through appropriate channels rather than through withdrawal, criticism, or quiet sabotage.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What I say privately about my leaders is consistent with what I would say to their face.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am able to implement decisions I would have shaped differently with genuine commitment rather than mere compliance.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When I have relevant insight or concern, I speak up appropriately before decisions are made rather than remaining silent.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16)</w:t>
            </w:r>
          </w:p>
        </w:tc>
        <w:tc>
          <w:tcPr>
            <w:tcW w:type="dxa" w:w="3168"/>
            <w:shd w:fill="F1F5F9"/>
            <w:tcMar>
              <w:top w:w="100" w:type="dxa"/>
              <w:bottom w:w="100" w:type="dxa"/>
              <w:left w:w="150" w:type="dxa"/>
              <w:right w:w="150" w:type="dxa"/>
            </w:tcMar>
          </w:tcPr>
          <w:p>
            <w:pPr>
              <w:jc w:val="center"/>
            </w:pPr>
            <w:r>
              <w:rPr>
                <w:rFonts w:ascii="Arial" w:hAnsi="Arial"/>
                <w:b/>
                <w:sz w:val="19"/>
              </w:rPr>
              <w:t>[       ] / 16</w:t>
            </w:r>
          </w:p>
        </w:tc>
      </w:tr>
    </w:tbl>
    <w:p>
      <w:pPr>
        <w:spacing w:after="240"/>
      </w:pPr>
    </w:p>
    <w:p>
      <w:pPr>
        <w:spacing w:before="120" w:after="40" w:line="276" w:lineRule="auto"/>
      </w:pPr>
      <w:r>
        <w:rPr>
          <w:rFonts w:ascii="Arial" w:hAnsi="Arial"/>
          <w:b/>
          <w:color w:val="854D0E"/>
          <w:sz w:val="23"/>
        </w:rPr>
        <w:t>Section 8: Alignment</w:t>
      </w:r>
    </w:p>
    <w:p>
      <w:pPr>
        <w:spacing w:before="0" w:after="160" w:line="276" w:lineRule="auto"/>
      </w:pPr>
      <w:r>
        <w:rPr>
          <w:rFonts w:ascii="Arial" w:hAnsi="Arial"/>
          <w:i/>
          <w:color w:val="64748B"/>
          <w:sz w:val="19"/>
        </w:rPr>
        <w:t>Chapter 10 — The Courage to Stay Aligned</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The standards I apply to others are the same ones I apply to myself.</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address small inconsistencies in my own behavior before they accumulate into larger patterns of drift.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When pressure rises, my stated values continue to govern my decisions rather than giving way to expediency.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I regularly examine my motives honestly, including the ways I may be rationalizing decisions that serve my self-interest.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The people I lead would describe my leadership as predictable and principled rather than situational.</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6. The people I lead feel trusted and empowered to make decisions within clear boundaries.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24)</w:t>
            </w:r>
          </w:p>
        </w:tc>
        <w:tc>
          <w:tcPr>
            <w:tcW w:type="dxa" w:w="3168"/>
            <w:shd w:fill="F1F5F9"/>
            <w:tcMar>
              <w:top w:w="100" w:type="dxa"/>
              <w:bottom w:w="100" w:type="dxa"/>
              <w:left w:w="150" w:type="dxa"/>
              <w:right w:w="150" w:type="dxa"/>
            </w:tcMar>
          </w:tcPr>
          <w:p>
            <w:pPr>
              <w:jc w:val="center"/>
            </w:pPr>
            <w:r>
              <w:rPr>
                <w:rFonts w:ascii="Arial" w:hAnsi="Arial"/>
                <w:b/>
                <w:sz w:val="19"/>
              </w:rPr>
              <w:t>[       ] / 24</w:t>
            </w:r>
          </w:p>
        </w:tc>
      </w:tr>
    </w:tbl>
    <w:p>
      <w:pPr>
        <w:spacing w:after="240"/>
      </w:pPr>
    </w:p>
    <w:p>
      <w:pPr>
        <w:spacing w:before="120" w:after="40" w:line="276" w:lineRule="auto"/>
      </w:pPr>
      <w:r>
        <w:rPr>
          <w:rFonts w:ascii="Arial" w:hAnsi="Arial"/>
          <w:b/>
          <w:color w:val="854D0E"/>
          <w:sz w:val="23"/>
        </w:rPr>
        <w:t>Section 9: Shared Weight</w:t>
      </w:r>
    </w:p>
    <w:p>
      <w:pPr>
        <w:spacing w:before="0" w:after="160" w:line="276" w:lineRule="auto"/>
      </w:pPr>
      <w:r>
        <w:rPr>
          <w:rFonts w:ascii="Arial" w:hAnsi="Arial"/>
          <w:i/>
          <w:color w:val="64748B"/>
          <w:sz w:val="19"/>
        </w:rPr>
        <w:t>Chapter 11 — How Teams Carry What Leaders Cannot</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delegate in ways that genuinely develop others, not just in ways that redistribute tasks.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The members of my team can articulate our primary purpose and the values that govern our decisions.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I tolerate the learning curve that comes with giving others real responsibility rather than reclaiming work when execution is imperfect.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4. Accountability on my team is shared laterally among members, not concentrated solely in me.</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5. When I am not present, my team makes sound decisions that reflect shared values rather than waiting for direction.</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20)</w:t>
            </w:r>
          </w:p>
        </w:tc>
        <w:tc>
          <w:tcPr>
            <w:tcW w:type="dxa" w:w="3168"/>
            <w:shd w:fill="F1F5F9"/>
            <w:tcMar>
              <w:top w:w="100" w:type="dxa"/>
              <w:bottom w:w="100" w:type="dxa"/>
              <w:left w:w="150" w:type="dxa"/>
              <w:right w:w="150" w:type="dxa"/>
            </w:tcMar>
          </w:tcPr>
          <w:p>
            <w:pPr>
              <w:jc w:val="center"/>
            </w:pPr>
            <w:r>
              <w:rPr>
                <w:rFonts w:ascii="Arial" w:hAnsi="Arial"/>
                <w:b/>
                <w:sz w:val="19"/>
              </w:rPr>
              <w:t>[       ] / 20</w:t>
            </w:r>
          </w:p>
        </w:tc>
      </w:tr>
    </w:tbl>
    <w:p>
      <w:pPr>
        <w:spacing w:after="240"/>
      </w:pPr>
    </w:p>
    <w:p>
      <w:pPr>
        <w:spacing w:before="360" w:after="120" w:line="276" w:lineRule="auto"/>
      </w:pPr>
      <w:r>
        <w:rPr>
          <w:rFonts w:ascii="Arial" w:hAnsi="Arial"/>
          <w:b/>
          <w:color w:val="1E293B"/>
          <w:sz w:val="28"/>
        </w:rPr>
        <w:t>Part IV: Growth, Change, and Endurance</w:t>
      </w:r>
    </w:p>
    <w:p>
      <w:pPr>
        <w:spacing w:before="120" w:after="40" w:line="276" w:lineRule="auto"/>
      </w:pPr>
      <w:r>
        <w:rPr>
          <w:rFonts w:ascii="Arial" w:hAnsi="Arial"/>
          <w:b/>
          <w:color w:val="854D0E"/>
          <w:sz w:val="23"/>
        </w:rPr>
        <w:t>Section 10: Mediocrity</w:t>
      </w:r>
    </w:p>
    <w:p>
      <w:pPr>
        <w:spacing w:before="0" w:after="160" w:line="276" w:lineRule="auto"/>
      </w:pPr>
      <w:r>
        <w:rPr>
          <w:rFonts w:ascii="Arial" w:hAnsi="Arial"/>
          <w:i/>
          <w:color w:val="64748B"/>
          <w:sz w:val="19"/>
        </w:rPr>
        <w:t>Chapter 13 — The Drift Leaders Rarely Notice</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can clearly articulate what excellence looks like in my current role, not just acceptable performance, but genuinely excellent work.</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regularly create conditions that invite honest challenge rather than comfortable agreement.</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When things are going well, I remain as attentive to drift and decline as I am during seasons of obvious difficulty.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12)</w:t>
            </w:r>
          </w:p>
        </w:tc>
        <w:tc>
          <w:tcPr>
            <w:tcW w:type="dxa" w:w="3168"/>
            <w:shd w:fill="F1F5F9"/>
            <w:tcMar>
              <w:top w:w="100" w:type="dxa"/>
              <w:bottom w:w="100" w:type="dxa"/>
              <w:left w:w="150" w:type="dxa"/>
              <w:right w:w="150" w:type="dxa"/>
            </w:tcMar>
          </w:tcPr>
          <w:p>
            <w:pPr>
              <w:jc w:val="center"/>
            </w:pPr>
            <w:r>
              <w:rPr>
                <w:rFonts w:ascii="Arial" w:hAnsi="Arial"/>
                <w:b/>
                <w:sz w:val="19"/>
              </w:rPr>
              <w:t>[       ] / 12</w:t>
            </w:r>
          </w:p>
        </w:tc>
      </w:tr>
    </w:tbl>
    <w:p>
      <w:pPr>
        <w:spacing w:after="240"/>
      </w:pPr>
    </w:p>
    <w:p>
      <w:pPr>
        <w:spacing w:before="120" w:after="40" w:line="276" w:lineRule="auto"/>
      </w:pPr>
      <w:r>
        <w:rPr>
          <w:rFonts w:ascii="Arial" w:hAnsi="Arial"/>
          <w:b/>
          <w:color w:val="854D0E"/>
          <w:sz w:val="23"/>
        </w:rPr>
        <w:t>Section 11: Leading Change</w:t>
      </w:r>
    </w:p>
    <w:p>
      <w:pPr>
        <w:spacing w:before="0" w:after="160" w:line="276" w:lineRule="auto"/>
      </w:pPr>
      <w:r>
        <w:rPr>
          <w:rFonts w:ascii="Arial" w:hAnsi="Arial"/>
          <w:i/>
          <w:color w:val="64748B"/>
          <w:sz w:val="19"/>
        </w:rPr>
        <w:t>Chapter 14 — Leading Change Without Losing People</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When leading change, I create explicit space for people to name what they are losing, not just what they are gaining.</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I communicate the purpose, boundaries, and progress of change repeatedly and consistently, not just at the launch.</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When resistance arises, my first response is to listen for what it is telling me rather than to manage it away.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12)</w:t>
            </w:r>
          </w:p>
        </w:tc>
        <w:tc>
          <w:tcPr>
            <w:tcW w:type="dxa" w:w="3168"/>
            <w:shd w:fill="F1F5F9"/>
            <w:tcMar>
              <w:top w:w="100" w:type="dxa"/>
              <w:bottom w:w="100" w:type="dxa"/>
              <w:left w:w="150" w:type="dxa"/>
              <w:right w:w="150" w:type="dxa"/>
            </w:tcMar>
          </w:tcPr>
          <w:p>
            <w:pPr>
              <w:jc w:val="center"/>
            </w:pPr>
            <w:r>
              <w:rPr>
                <w:rFonts w:ascii="Arial" w:hAnsi="Arial"/>
                <w:b/>
                <w:sz w:val="19"/>
              </w:rPr>
              <w:t>[       ] / 12</w:t>
            </w:r>
          </w:p>
        </w:tc>
      </w:tr>
    </w:tbl>
    <w:p>
      <w:pPr>
        <w:spacing w:after="240"/>
      </w:pPr>
    </w:p>
    <w:p>
      <w:pPr>
        <w:spacing w:before="120" w:after="40" w:line="276" w:lineRule="auto"/>
      </w:pPr>
      <w:r>
        <w:rPr>
          <w:rFonts w:ascii="Arial" w:hAnsi="Arial"/>
          <w:b/>
          <w:color w:val="854D0E"/>
          <w:sz w:val="23"/>
        </w:rPr>
        <w:t>Section 12: Leadership Cost</w:t>
      </w:r>
    </w:p>
    <w:p>
      <w:pPr>
        <w:spacing w:before="0" w:after="160" w:line="276" w:lineRule="auto"/>
      </w:pPr>
      <w:r>
        <w:rPr>
          <w:rFonts w:ascii="Arial" w:hAnsi="Arial"/>
          <w:i/>
          <w:color w:val="64748B"/>
          <w:sz w:val="19"/>
        </w:rPr>
        <w:t>Chapter 15 — When Leadership Costs You Something</w:t>
      </w:r>
    </w:p>
    <w:tbl>
      <w:tblPr>
        <w:tblW w:type="auto" w:w="0"/>
        <w:jc w:val="center"/>
        <w:tblLayout w:type="fixed"/>
        <w:tblLook w:firstColumn="1" w:firstRow="1" w:lastColumn="0" w:lastRow="0" w:noHBand="0" w:noVBand="1" w:val="04A0"/>
      </w:tblPr>
      <w:tblGrid>
        <w:gridCol w:w="4968"/>
        <w:gridCol w:w="4968"/>
      </w:tblGrid>
      <w:tr>
        <w:tc>
          <w:tcPr>
            <w:tcW w:type="dxa" w:w="7200"/>
            <w:shd w:fill="F8FAFC"/>
            <w:tcMar>
              <w:top w:w="100" w:type="dxa"/>
              <w:bottom w:w="100" w:type="dxa"/>
              <w:left w:w="150" w:type="dxa"/>
              <w:right w:w="150" w:type="dxa"/>
            </w:tcMar>
          </w:tcPr>
          <w:p>
            <w:r>
              <w:t>Evaluation Statement</w:t>
            </w:r>
          </w:p>
        </w:tc>
        <w:tc>
          <w:tcPr>
            <w:tcW w:type="dxa" w:w="3168"/>
            <w:shd w:fill="F8FAFC"/>
            <w:tcMar>
              <w:top w:w="100" w:type="dxa"/>
              <w:bottom w:w="100" w:type="dxa"/>
              <w:left w:w="150" w:type="dxa"/>
              <w:right w:w="150" w:type="dxa"/>
            </w:tcMar>
          </w:tcPr>
          <w:p>
            <w:r>
              <w:t>Options (Circle One)</w:t>
            </w:r>
          </w:p>
        </w:tc>
      </w:tr>
      <w:tr>
        <w:tc>
          <w:tcPr>
            <w:tcW w:type="dxa" w:w="7200"/>
            <w:tcMar>
              <w:top w:w="100" w:type="dxa"/>
              <w:bottom w:w="100" w:type="dxa"/>
              <w:left w:w="150" w:type="dxa"/>
              <w:right w:w="150" w:type="dxa"/>
            </w:tcMar>
          </w:tcPr>
          <w:p>
            <w:r>
              <w:rPr>
                <w:rFonts w:ascii="Arial" w:hAnsi="Arial"/>
                <w:sz w:val="19"/>
              </w:rPr>
              <w:t>1. I say what needs to be said even when silence would be more comfortable or personally advantageous.</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2. When faithfulness requires personal cost (reputational, relational, or professional), I am able to pay it without bitterness or self-pity.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tcMar>
              <w:top w:w="100" w:type="dxa"/>
              <w:bottom w:w="100" w:type="dxa"/>
              <w:left w:w="150" w:type="dxa"/>
              <w:right w:w="150" w:type="dxa"/>
            </w:tcMar>
          </w:tcPr>
          <w:p>
            <w:r>
              <w:rPr>
                <w:rFonts w:ascii="Arial" w:hAnsi="Arial"/>
                <w:sz w:val="19"/>
              </w:rPr>
              <w:t>3. My leadership decisions are governed more by what integrity requires than by what they will cost or gain me personally.</w:t>
            </w:r>
          </w:p>
        </w:tc>
        <w:tc>
          <w:tcPr>
            <w:tcW w:type="dxa" w:w="3168"/>
            <w:tcMar>
              <w:top w:w="100" w:type="dxa"/>
              <w:bottom w:w="100" w:type="dxa"/>
              <w:left w:w="150" w:type="dxa"/>
              <w:right w:w="150" w:type="dxa"/>
            </w:tcMar>
          </w:tcPr>
          <w:p>
            <w:pPr>
              <w:jc w:val="center"/>
            </w:pPr>
            <w:r>
              <w:rPr>
                <w:rFonts w:ascii="Arial" w:hAnsi="Arial"/>
                <w:sz w:val="19"/>
              </w:rPr>
              <w:t xml:space="preserve">  ( 1 )   ( 2 )   ( 3 )   ( 4 )</w:t>
            </w:r>
          </w:p>
        </w:tc>
      </w:tr>
      <w:tr>
        <w:tc>
          <w:tcPr>
            <w:tcW w:type="dxa" w:w="7200"/>
            <w:shd w:fill="F1F5F9"/>
            <w:tcMar>
              <w:top w:w="100" w:type="dxa"/>
              <w:bottom w:w="100" w:type="dxa"/>
              <w:left w:w="150" w:type="dxa"/>
              <w:right w:w="150" w:type="dxa"/>
            </w:tcMar>
          </w:tcPr>
          <w:p>
            <w:r>
              <w:rPr>
                <w:rFonts w:ascii="Arial" w:hAnsi="Arial"/>
                <w:b/>
                <w:sz w:val="19"/>
              </w:rPr>
              <w:t>Section Score (Sum of items, Max 12)</w:t>
            </w:r>
          </w:p>
        </w:tc>
        <w:tc>
          <w:tcPr>
            <w:tcW w:type="dxa" w:w="3168"/>
            <w:shd w:fill="F1F5F9"/>
            <w:tcMar>
              <w:top w:w="100" w:type="dxa"/>
              <w:bottom w:w="100" w:type="dxa"/>
              <w:left w:w="150" w:type="dxa"/>
              <w:right w:w="150" w:type="dxa"/>
            </w:tcMar>
          </w:tcPr>
          <w:p>
            <w:pPr>
              <w:jc w:val="center"/>
            </w:pPr>
            <w:r>
              <w:rPr>
                <w:rFonts w:ascii="Arial" w:hAnsi="Arial"/>
                <w:b/>
                <w:sz w:val="19"/>
              </w:rPr>
              <w:t>[       ] / 12</w:t>
            </w:r>
          </w:p>
        </w:tc>
      </w:tr>
    </w:tbl>
    <w:p>
      <w:pPr>
        <w:spacing w:after="240"/>
      </w:pPr>
    </w:p>
    <w:p>
      <w:r>
        <w:br w:type="page"/>
      </w:r>
    </w:p>
    <w:p>
      <w:pPr>
        <w:spacing w:before="240" w:after="120" w:line="276" w:lineRule="auto"/>
      </w:pPr>
      <w:r>
        <w:rPr>
          <w:rFonts w:ascii="Arial" w:hAnsi="Arial"/>
          <w:b/>
          <w:color w:val="1E293B"/>
          <w:sz w:val="28"/>
        </w:rPr>
        <w:t>Scoring Summary Matrix</w:t>
      </w:r>
    </w:p>
    <w:tbl>
      <w:tblPr>
        <w:tblW w:type="auto" w:w="0"/>
        <w:jc w:val="center"/>
        <w:tblLayout w:type="fixed"/>
        <w:tblLook w:firstColumn="1" w:firstRow="1" w:lastColumn="0" w:lastRow="0" w:noHBand="0" w:noVBand="1" w:val="04A0"/>
      </w:tblPr>
      <w:tblGrid>
        <w:gridCol w:w="3312"/>
        <w:gridCol w:w="3312"/>
        <w:gridCol w:w="3312"/>
      </w:tblGrid>
      <w:tr>
        <w:tc>
          <w:tcPr>
            <w:tcW w:type="dxa" w:w="6048"/>
            <w:shd w:fill="1E293B"/>
            <w:tcMar>
              <w:top w:w="100" w:type="dxa"/>
              <w:bottom w:w="100" w:type="dxa"/>
              <w:left w:w="150" w:type="dxa"/>
              <w:right w:w="150" w:type="dxa"/>
            </w:tcMar>
          </w:tcPr>
          <w:p>
            <w:r>
              <w:rPr>
                <w:rFonts w:ascii="Arial" w:hAnsi="Arial"/>
                <w:b/>
                <w:color w:val="FFFFFF"/>
                <w:sz w:val="20"/>
              </w:rPr>
              <w:t>Leadership Dimension &amp; Section</w:t>
            </w:r>
          </w:p>
        </w:tc>
        <w:tc>
          <w:tcPr>
            <w:tcW w:type="dxa" w:w="2160"/>
            <w:shd w:fill="1E293B"/>
            <w:tcMar>
              <w:top w:w="100" w:type="dxa"/>
              <w:bottom w:w="100" w:type="dxa"/>
              <w:left w:w="150" w:type="dxa"/>
              <w:right w:w="150" w:type="dxa"/>
            </w:tcMar>
          </w:tcPr>
          <w:p>
            <w:r>
              <w:rPr>
                <w:rFonts w:ascii="Arial" w:hAnsi="Arial"/>
                <w:b/>
                <w:color w:val="FFFFFF"/>
                <w:sz w:val="20"/>
              </w:rPr>
              <w:t>Your Score</w:t>
            </w:r>
          </w:p>
        </w:tc>
        <w:tc>
          <w:tcPr>
            <w:tcW w:type="dxa" w:w="2160"/>
            <w:shd w:fill="1E293B"/>
            <w:tcMar>
              <w:top w:w="100" w:type="dxa"/>
              <w:bottom w:w="100" w:type="dxa"/>
              <w:left w:w="150" w:type="dxa"/>
              <w:right w:w="150" w:type="dxa"/>
            </w:tcMar>
          </w:tcPr>
          <w:p>
            <w:r>
              <w:rPr>
                <w:rFonts w:ascii="Arial" w:hAnsi="Arial"/>
                <w:b/>
                <w:color w:val="FFFFFF"/>
                <w:sz w:val="20"/>
              </w:rPr>
              <w:t>Max Score</w:t>
            </w:r>
          </w:p>
        </w:tc>
      </w:tr>
      <w:tr>
        <w:tc>
          <w:tcPr>
            <w:tcW w:type="dxa" w:w="6048"/>
            <w:shd w:fill="F1F5F9"/>
            <w:tcMar>
              <w:top w:w="100" w:type="dxa"/>
              <w:bottom w:w="100" w:type="dxa"/>
              <w:left w:w="150" w:type="dxa"/>
              <w:right w:w="150" w:type="dxa"/>
            </w:tcMar>
          </w:tcPr>
          <w:p>
            <w:r>
              <w:rPr>
                <w:rFonts w:ascii="Arial" w:hAnsi="Arial"/>
                <w:b/>
                <w:sz w:val="19"/>
              </w:rPr>
              <w:t>Part I: Foundations That Don’t Crack</w:t>
            </w:r>
          </w:p>
        </w:tc>
        <w:tc>
          <w:tcPr>
            <w:tcW w:type="dxa" w:w="2160"/>
            <w:shd w:fill="F1F5F9"/>
            <w:tcMar>
              <w:top w:w="100" w:type="dxa"/>
              <w:bottom w:w="100" w:type="dxa"/>
              <w:left w:w="150" w:type="dxa"/>
              <w:right w:w="150" w:type="dxa"/>
            </w:tcMar>
          </w:tcPr>
          <w:p>
            <w:pPr>
              <w:jc w:val="center"/>
            </w:pPr>
            <w:r>
              <w:rPr>
                <w:rFonts w:ascii="Arial" w:hAnsi="Arial"/>
                <w:sz w:val="19"/>
              </w:rPr>
            </w:r>
          </w:p>
        </w:tc>
        <w:tc>
          <w:tcPr>
            <w:tcW w:type="dxa" w:w="2160"/>
            <w:shd w:fill="F1F5F9"/>
            <w:tcMar>
              <w:top w:w="100" w:type="dxa"/>
              <w:bottom w:w="100" w:type="dxa"/>
              <w:left w:w="150" w:type="dxa"/>
              <w:right w:w="150" w:type="dxa"/>
            </w:tcMar>
          </w:tcPr>
          <w:p>
            <w:pPr>
              <w:jc w:val="center"/>
            </w:pPr>
            <w:r>
              <w:rPr>
                <w:rFonts w:ascii="Arial" w:hAnsi="Arial"/>
                <w:b/>
                <w:sz w:val="19"/>
              </w:rPr>
              <w:t>56</w:t>
            </w:r>
          </w:p>
        </w:tc>
      </w:tr>
      <w:tr>
        <w:tc>
          <w:tcPr>
            <w:tcW w:type="dxa" w:w="6048"/>
            <w:tcMar>
              <w:top w:w="100" w:type="dxa"/>
              <w:bottom w:w="100" w:type="dxa"/>
              <w:left w:w="150" w:type="dxa"/>
              <w:right w:w="150" w:type="dxa"/>
            </w:tcMar>
          </w:tcPr>
          <w:p>
            <w:r>
              <w:rPr>
                <w:rFonts w:ascii="Arial" w:hAnsi="Arial"/>
                <w:sz w:val="19"/>
              </w:rPr>
              <w:t xml:space="preserve">   Section 1 — Humility</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tcMar>
              <w:top w:w="100" w:type="dxa"/>
              <w:bottom w:w="100" w:type="dxa"/>
              <w:left w:w="150" w:type="dxa"/>
              <w:right w:w="150" w:type="dxa"/>
            </w:tcMar>
          </w:tcPr>
          <w:p>
            <w:r>
              <w:rPr>
                <w:rFonts w:ascii="Arial" w:hAnsi="Arial"/>
                <w:sz w:val="19"/>
              </w:rPr>
              <w:t xml:space="preserve">   Section 2 — Relationships</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tcMar>
              <w:top w:w="100" w:type="dxa"/>
              <w:bottom w:w="100" w:type="dxa"/>
              <w:left w:w="150" w:type="dxa"/>
              <w:right w:w="150" w:type="dxa"/>
            </w:tcMar>
          </w:tcPr>
          <w:p>
            <w:r>
              <w:rPr>
                <w:rFonts w:ascii="Arial" w:hAnsi="Arial"/>
                <w:sz w:val="19"/>
              </w:rPr>
              <w:t xml:space="preserve">   Section 3 — Faith as Orientation</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16</w:t>
            </w:r>
          </w:p>
        </w:tc>
      </w:tr>
      <w:tr>
        <w:tc>
          <w:tcPr>
            <w:tcW w:type="dxa" w:w="6048"/>
            <w:shd w:fill="F1F5F9"/>
            <w:tcMar>
              <w:top w:w="100" w:type="dxa"/>
              <w:bottom w:w="100" w:type="dxa"/>
              <w:left w:w="150" w:type="dxa"/>
              <w:right w:w="150" w:type="dxa"/>
            </w:tcMar>
          </w:tcPr>
          <w:p>
            <w:r>
              <w:rPr>
                <w:rFonts w:ascii="Arial" w:hAnsi="Arial"/>
                <w:b/>
                <w:sz w:val="19"/>
              </w:rPr>
              <w:t>Part II: The Inner Work of Leadership</w:t>
            </w:r>
          </w:p>
        </w:tc>
        <w:tc>
          <w:tcPr>
            <w:tcW w:type="dxa" w:w="2160"/>
            <w:shd w:fill="F1F5F9"/>
            <w:tcMar>
              <w:top w:w="100" w:type="dxa"/>
              <w:bottom w:w="100" w:type="dxa"/>
              <w:left w:w="150" w:type="dxa"/>
              <w:right w:w="150" w:type="dxa"/>
            </w:tcMar>
          </w:tcPr>
          <w:p>
            <w:pPr>
              <w:jc w:val="center"/>
            </w:pPr>
            <w:r>
              <w:rPr>
                <w:rFonts w:ascii="Arial" w:hAnsi="Arial"/>
                <w:sz w:val="19"/>
              </w:rPr>
            </w:r>
          </w:p>
        </w:tc>
        <w:tc>
          <w:tcPr>
            <w:tcW w:type="dxa" w:w="2160"/>
            <w:shd w:fill="F1F5F9"/>
            <w:tcMar>
              <w:top w:w="100" w:type="dxa"/>
              <w:bottom w:w="100" w:type="dxa"/>
              <w:left w:w="150" w:type="dxa"/>
              <w:right w:w="150" w:type="dxa"/>
            </w:tcMar>
          </w:tcPr>
          <w:p>
            <w:pPr>
              <w:jc w:val="center"/>
            </w:pPr>
            <w:r>
              <w:rPr>
                <w:rFonts w:ascii="Arial" w:hAnsi="Arial"/>
                <w:b/>
                <w:sz w:val="19"/>
              </w:rPr>
              <w:t>60</w:t>
            </w:r>
          </w:p>
        </w:tc>
      </w:tr>
      <w:tr>
        <w:tc>
          <w:tcPr>
            <w:tcW w:type="dxa" w:w="6048"/>
            <w:tcMar>
              <w:top w:w="100" w:type="dxa"/>
              <w:bottom w:w="100" w:type="dxa"/>
              <w:left w:w="150" w:type="dxa"/>
              <w:right w:w="150" w:type="dxa"/>
            </w:tcMar>
          </w:tcPr>
          <w:p>
            <w:r>
              <w:rPr>
                <w:rFonts w:ascii="Arial" w:hAnsi="Arial"/>
                <w:sz w:val="19"/>
              </w:rPr>
              <w:t xml:space="preserve">   Section 4 — Self-Awareness</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tcMar>
              <w:top w:w="100" w:type="dxa"/>
              <w:bottom w:w="100" w:type="dxa"/>
              <w:left w:w="150" w:type="dxa"/>
              <w:right w:w="150" w:type="dxa"/>
            </w:tcMar>
          </w:tcPr>
          <w:p>
            <w:r>
              <w:rPr>
                <w:rFonts w:ascii="Arial" w:hAnsi="Arial"/>
                <w:sz w:val="19"/>
              </w:rPr>
              <w:t xml:space="preserve">   Section 5 — Self-Management</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tcMar>
              <w:top w:w="100" w:type="dxa"/>
              <w:bottom w:w="100" w:type="dxa"/>
              <w:left w:w="150" w:type="dxa"/>
              <w:right w:w="150" w:type="dxa"/>
            </w:tcMar>
          </w:tcPr>
          <w:p>
            <w:r>
              <w:rPr>
                <w:rFonts w:ascii="Arial" w:hAnsi="Arial"/>
                <w:sz w:val="19"/>
              </w:rPr>
              <w:t xml:space="preserve">   Section 6 — Resilience</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shd w:fill="F1F5F9"/>
            <w:tcMar>
              <w:top w:w="100" w:type="dxa"/>
              <w:bottom w:w="100" w:type="dxa"/>
              <w:left w:w="150" w:type="dxa"/>
              <w:right w:w="150" w:type="dxa"/>
            </w:tcMar>
          </w:tcPr>
          <w:p>
            <w:r>
              <w:rPr>
                <w:rFonts w:ascii="Arial" w:hAnsi="Arial"/>
                <w:b/>
                <w:sz w:val="19"/>
              </w:rPr>
              <w:t>Part III: Leadership with Others</w:t>
            </w:r>
          </w:p>
        </w:tc>
        <w:tc>
          <w:tcPr>
            <w:tcW w:type="dxa" w:w="2160"/>
            <w:shd w:fill="F1F5F9"/>
            <w:tcMar>
              <w:top w:w="100" w:type="dxa"/>
              <w:bottom w:w="100" w:type="dxa"/>
              <w:left w:w="150" w:type="dxa"/>
              <w:right w:w="150" w:type="dxa"/>
            </w:tcMar>
          </w:tcPr>
          <w:p>
            <w:pPr>
              <w:jc w:val="center"/>
            </w:pPr>
            <w:r>
              <w:rPr>
                <w:rFonts w:ascii="Arial" w:hAnsi="Arial"/>
                <w:sz w:val="19"/>
              </w:rPr>
            </w:r>
          </w:p>
        </w:tc>
        <w:tc>
          <w:tcPr>
            <w:tcW w:type="dxa" w:w="2160"/>
            <w:shd w:fill="F1F5F9"/>
            <w:tcMar>
              <w:top w:w="100" w:type="dxa"/>
              <w:bottom w:w="100" w:type="dxa"/>
              <w:left w:w="150" w:type="dxa"/>
              <w:right w:w="150" w:type="dxa"/>
            </w:tcMar>
          </w:tcPr>
          <w:p>
            <w:pPr>
              <w:jc w:val="center"/>
            </w:pPr>
            <w:r>
              <w:rPr>
                <w:rFonts w:ascii="Arial" w:hAnsi="Arial"/>
                <w:b/>
                <w:sz w:val="19"/>
              </w:rPr>
              <w:t>60</w:t>
            </w:r>
          </w:p>
        </w:tc>
      </w:tr>
      <w:tr>
        <w:tc>
          <w:tcPr>
            <w:tcW w:type="dxa" w:w="6048"/>
            <w:tcMar>
              <w:top w:w="100" w:type="dxa"/>
              <w:bottom w:w="100" w:type="dxa"/>
              <w:left w:w="150" w:type="dxa"/>
              <w:right w:w="150" w:type="dxa"/>
            </w:tcMar>
          </w:tcPr>
          <w:p>
            <w:r>
              <w:rPr>
                <w:rFonts w:ascii="Arial" w:hAnsi="Arial"/>
                <w:sz w:val="19"/>
              </w:rPr>
              <w:t xml:space="preserve">   Section 7 — Followership</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16</w:t>
            </w:r>
          </w:p>
        </w:tc>
      </w:tr>
      <w:tr>
        <w:tc>
          <w:tcPr>
            <w:tcW w:type="dxa" w:w="6048"/>
            <w:tcMar>
              <w:top w:w="100" w:type="dxa"/>
              <w:bottom w:w="100" w:type="dxa"/>
              <w:left w:w="150" w:type="dxa"/>
              <w:right w:w="150" w:type="dxa"/>
            </w:tcMar>
          </w:tcPr>
          <w:p>
            <w:r>
              <w:rPr>
                <w:rFonts w:ascii="Arial" w:hAnsi="Arial"/>
                <w:sz w:val="19"/>
              </w:rPr>
              <w:t xml:space="preserve">   Section 8 — Alignment</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24</w:t>
            </w:r>
          </w:p>
        </w:tc>
      </w:tr>
      <w:tr>
        <w:tc>
          <w:tcPr>
            <w:tcW w:type="dxa" w:w="6048"/>
            <w:tcMar>
              <w:top w:w="100" w:type="dxa"/>
              <w:bottom w:w="100" w:type="dxa"/>
              <w:left w:w="150" w:type="dxa"/>
              <w:right w:w="150" w:type="dxa"/>
            </w:tcMar>
          </w:tcPr>
          <w:p>
            <w:r>
              <w:rPr>
                <w:rFonts w:ascii="Arial" w:hAnsi="Arial"/>
                <w:sz w:val="19"/>
              </w:rPr>
              <w:t xml:space="preserve">   Section 9 — Shared Weight</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20</w:t>
            </w:r>
          </w:p>
        </w:tc>
      </w:tr>
      <w:tr>
        <w:tc>
          <w:tcPr>
            <w:tcW w:type="dxa" w:w="6048"/>
            <w:shd w:fill="F1F5F9"/>
            <w:tcMar>
              <w:top w:w="100" w:type="dxa"/>
              <w:bottom w:w="100" w:type="dxa"/>
              <w:left w:w="150" w:type="dxa"/>
              <w:right w:w="150" w:type="dxa"/>
            </w:tcMar>
          </w:tcPr>
          <w:p>
            <w:r>
              <w:rPr>
                <w:rFonts w:ascii="Arial" w:hAnsi="Arial"/>
                <w:b/>
                <w:sz w:val="19"/>
              </w:rPr>
              <w:t>Part IV: Growth, Change, and Endurance</w:t>
            </w:r>
          </w:p>
        </w:tc>
        <w:tc>
          <w:tcPr>
            <w:tcW w:type="dxa" w:w="2160"/>
            <w:shd w:fill="F1F5F9"/>
            <w:tcMar>
              <w:top w:w="100" w:type="dxa"/>
              <w:bottom w:w="100" w:type="dxa"/>
              <w:left w:w="150" w:type="dxa"/>
              <w:right w:w="150" w:type="dxa"/>
            </w:tcMar>
          </w:tcPr>
          <w:p>
            <w:pPr>
              <w:jc w:val="center"/>
            </w:pPr>
            <w:r>
              <w:rPr>
                <w:rFonts w:ascii="Arial" w:hAnsi="Arial"/>
                <w:sz w:val="19"/>
              </w:rPr>
            </w:r>
          </w:p>
        </w:tc>
        <w:tc>
          <w:tcPr>
            <w:tcW w:type="dxa" w:w="2160"/>
            <w:shd w:fill="F1F5F9"/>
            <w:tcMar>
              <w:top w:w="100" w:type="dxa"/>
              <w:bottom w:w="100" w:type="dxa"/>
              <w:left w:w="150" w:type="dxa"/>
              <w:right w:w="150" w:type="dxa"/>
            </w:tcMar>
          </w:tcPr>
          <w:p>
            <w:pPr>
              <w:jc w:val="center"/>
            </w:pPr>
            <w:r>
              <w:rPr>
                <w:rFonts w:ascii="Arial" w:hAnsi="Arial"/>
                <w:b/>
                <w:sz w:val="19"/>
              </w:rPr>
              <w:t>36</w:t>
            </w:r>
          </w:p>
        </w:tc>
      </w:tr>
      <w:tr>
        <w:tc>
          <w:tcPr>
            <w:tcW w:type="dxa" w:w="6048"/>
            <w:tcMar>
              <w:top w:w="100" w:type="dxa"/>
              <w:bottom w:w="100" w:type="dxa"/>
              <w:left w:w="150" w:type="dxa"/>
              <w:right w:w="150" w:type="dxa"/>
            </w:tcMar>
          </w:tcPr>
          <w:p>
            <w:r>
              <w:rPr>
                <w:rFonts w:ascii="Arial" w:hAnsi="Arial"/>
                <w:sz w:val="19"/>
              </w:rPr>
              <w:t xml:space="preserve">   Section 10 — Mediocrity</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12</w:t>
            </w:r>
          </w:p>
        </w:tc>
      </w:tr>
      <w:tr>
        <w:tc>
          <w:tcPr>
            <w:tcW w:type="dxa" w:w="6048"/>
            <w:tcMar>
              <w:top w:w="100" w:type="dxa"/>
              <w:bottom w:w="100" w:type="dxa"/>
              <w:left w:w="150" w:type="dxa"/>
              <w:right w:w="150" w:type="dxa"/>
            </w:tcMar>
          </w:tcPr>
          <w:p>
            <w:r>
              <w:rPr>
                <w:rFonts w:ascii="Arial" w:hAnsi="Arial"/>
                <w:sz w:val="19"/>
              </w:rPr>
              <w:t xml:space="preserve">   Section 11 — Leading Change</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12</w:t>
            </w:r>
          </w:p>
        </w:tc>
      </w:tr>
      <w:tr>
        <w:tc>
          <w:tcPr>
            <w:tcW w:type="dxa" w:w="6048"/>
            <w:tcMar>
              <w:top w:w="100" w:type="dxa"/>
              <w:bottom w:w="100" w:type="dxa"/>
              <w:left w:w="150" w:type="dxa"/>
              <w:right w:w="150" w:type="dxa"/>
            </w:tcMar>
          </w:tcPr>
          <w:p>
            <w:r>
              <w:rPr>
                <w:rFonts w:ascii="Arial" w:hAnsi="Arial"/>
                <w:sz w:val="19"/>
              </w:rPr>
              <w:t xml:space="preserve">   Section 12 — Leadership Cost</w:t>
            </w:r>
          </w:p>
        </w:tc>
        <w:tc>
          <w:tcPr>
            <w:tcW w:type="dxa" w:w="2160"/>
            <w:tcMar>
              <w:top w:w="100" w:type="dxa"/>
              <w:bottom w:w="100" w:type="dxa"/>
              <w:left w:w="150" w:type="dxa"/>
              <w:right w:w="150" w:type="dxa"/>
            </w:tcMar>
          </w:tcPr>
          <w:p>
            <w:pPr>
              <w:jc w:val="center"/>
            </w:pPr>
            <w:r>
              <w:rPr>
                <w:rFonts w:ascii="Arial" w:hAnsi="Arial"/>
                <w:sz w:val="19"/>
              </w:rPr>
              <w:t>_______</w:t>
            </w:r>
          </w:p>
        </w:tc>
        <w:tc>
          <w:tcPr>
            <w:tcW w:type="dxa" w:w="2160"/>
            <w:tcMar>
              <w:top w:w="100" w:type="dxa"/>
              <w:bottom w:w="100" w:type="dxa"/>
              <w:left w:w="150" w:type="dxa"/>
              <w:right w:w="150" w:type="dxa"/>
            </w:tcMar>
          </w:tcPr>
          <w:p>
            <w:pPr>
              <w:jc w:val="center"/>
            </w:pPr>
            <w:r>
              <w:rPr>
                <w:rFonts w:ascii="Arial" w:hAnsi="Arial"/>
                <w:sz w:val="19"/>
              </w:rPr>
              <w:t>12</w:t>
            </w:r>
          </w:p>
        </w:tc>
      </w:tr>
      <w:tr>
        <w:tc>
          <w:tcPr>
            <w:tcW w:type="dxa" w:w="6048"/>
            <w:shd w:fill="F1F5F9"/>
            <w:tcMar>
              <w:top w:w="100" w:type="dxa"/>
              <w:bottom w:w="100" w:type="dxa"/>
              <w:left w:w="150" w:type="dxa"/>
              <w:right w:w="150" w:type="dxa"/>
            </w:tcMar>
          </w:tcPr>
          <w:p>
            <w:r>
              <w:rPr>
                <w:rFonts w:ascii="Arial" w:hAnsi="Arial"/>
                <w:b/>
                <w:sz w:val="19"/>
              </w:rPr>
              <w:t>OVERALL TOTAL SCORE</w:t>
            </w:r>
          </w:p>
        </w:tc>
        <w:tc>
          <w:tcPr>
            <w:tcW w:type="dxa" w:w="2160"/>
            <w:shd w:fill="F1F5F9"/>
            <w:tcMar>
              <w:top w:w="100" w:type="dxa"/>
              <w:bottom w:w="100" w:type="dxa"/>
              <w:left w:w="150" w:type="dxa"/>
              <w:right w:w="150" w:type="dxa"/>
            </w:tcMar>
          </w:tcPr>
          <w:p>
            <w:pPr>
              <w:jc w:val="center"/>
            </w:pPr>
            <w:r>
              <w:rPr>
                <w:rFonts w:ascii="Arial" w:hAnsi="Arial"/>
                <w:sz w:val="19"/>
              </w:rPr>
              <w:t>_______</w:t>
            </w:r>
          </w:p>
        </w:tc>
        <w:tc>
          <w:tcPr>
            <w:tcW w:type="dxa" w:w="2160"/>
            <w:shd w:fill="F1F5F9"/>
            <w:tcMar>
              <w:top w:w="100" w:type="dxa"/>
              <w:bottom w:w="100" w:type="dxa"/>
              <w:left w:w="150" w:type="dxa"/>
              <w:right w:w="150" w:type="dxa"/>
            </w:tcMar>
          </w:tcPr>
          <w:p>
            <w:pPr>
              <w:jc w:val="center"/>
            </w:pPr>
            <w:r>
              <w:rPr>
                <w:rFonts w:ascii="Arial" w:hAnsi="Arial"/>
                <w:b/>
                <w:sz w:val="19"/>
              </w:rPr>
              <w:t>212</w:t>
            </w:r>
          </w:p>
        </w:tc>
      </w:tr>
    </w:tbl>
    <w:p>
      <w:pPr>
        <w:spacing w:before="360" w:after="120" w:line="276" w:lineRule="auto"/>
      </w:pPr>
      <w:r>
        <w:rPr>
          <w:rFonts w:ascii="Arial" w:hAnsi="Arial"/>
          <w:b/>
          <w:color w:val="854D0E"/>
          <w:sz w:val="26"/>
        </w:rPr>
        <w:t>Interpreting Your Overall Score</w:t>
      </w:r>
    </w:p>
    <w:p>
      <w:pPr>
        <w:spacing w:before="80" w:after="160"/>
      </w:pPr>
      <w:r>
        <w:rPr>
          <w:rFonts w:ascii="Arial" w:hAnsi="Arial"/>
          <w:b/>
          <w:color w:val="1E293B"/>
          <w:sz w:val="20"/>
        </w:rPr>
        <w:t>172–212: The Steady Carrier</w:t>
        <w:br/>
      </w:r>
      <w:r>
        <w:rPr>
          <w:rFonts w:ascii="Arial" w:hAnsi="Arial"/>
          <w:color w:val="475569"/>
          <w:sz w:val="19"/>
        </w:rPr>
        <w:t>You are leading with a high degree of consistency across all four dimensions. The principles are genuinely operational in your practice. Pay attention to your lowest section scores to protect against the subtle drift that comes when things are going well.</w:t>
      </w:r>
    </w:p>
    <w:p>
      <w:pPr>
        <w:spacing w:before="80" w:after="160"/>
      </w:pPr>
      <w:r>
        <w:rPr>
          <w:rFonts w:ascii="Arial" w:hAnsi="Arial"/>
          <w:b/>
          <w:color w:val="1E293B"/>
          <w:sz w:val="20"/>
        </w:rPr>
        <w:t>132–171: The Developing Carrier</w:t>
        <w:br/>
      </w:r>
      <w:r>
        <w:rPr>
          <w:rFonts w:ascii="Arial" w:hAnsi="Arial"/>
          <w:color w:val="475569"/>
          <w:sz w:val="19"/>
        </w:rPr>
        <w:t>Your foundation is real, but uneven. This is the most common profile among capable, honest mid-career leaders. You are carrying more weight than you have fully developed the capacity to hold. Treat your lowest sections as your primary focus.</w:t>
      </w:r>
    </w:p>
    <w:p>
      <w:pPr>
        <w:spacing w:before="80" w:after="160"/>
      </w:pPr>
      <w:r>
        <w:rPr>
          <w:rFonts w:ascii="Arial" w:hAnsi="Arial"/>
          <w:b/>
          <w:color w:val="1E293B"/>
          <w:sz w:val="20"/>
        </w:rPr>
        <w:t>92–131: The Shifting Load</w:t>
        <w:br/>
      </w:r>
      <w:r>
        <w:rPr>
          <w:rFonts w:ascii="Arial" w:hAnsi="Arial"/>
          <w:color w:val="475569"/>
          <w:sz w:val="19"/>
        </w:rPr>
        <w:t>There are real strengths, but something significant is out of alignment. The gap between who you intend to be and how you function has become wide enough to affect your team, relationships, or interior stability. Focus on the single lowest section first.</w:t>
      </w:r>
    </w:p>
    <w:p>
      <w:pPr>
        <w:spacing w:before="80" w:after="160"/>
      </w:pPr>
      <w:r>
        <w:rPr>
          <w:rFonts w:ascii="Arial" w:hAnsi="Arial"/>
          <w:b/>
          <w:color w:val="1E293B"/>
          <w:sz w:val="20"/>
        </w:rPr>
        <w:t>Below 92: The Overloaded Llama</w:t>
        <w:br/>
      </w:r>
      <w:r>
        <w:rPr>
          <w:rFonts w:ascii="Arial" w:hAnsi="Arial"/>
          <w:color w:val="475569"/>
          <w:sz w:val="19"/>
        </w:rPr>
        <w:t>You may be carrying more than your current capacity can sustain. The Bama Llama does not panic when the load is too heavy; it stops and waits for the weight to be redistributed. Consider what needs to be set down, and return to the foundational chapters.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